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1FF4F7" w14:textId="77777777" w:rsidR="00246B00" w:rsidRDefault="006C7A14" w:rsidP="00246B00">
      <w:pPr>
        <w:rPr>
          <w:b/>
          <w:bCs/>
        </w:rPr>
      </w:pPr>
      <w:r>
        <w:rPr>
          <w:b/>
          <w:bCs/>
        </w:rPr>
        <w:t>Some memory basics:</w:t>
      </w:r>
    </w:p>
    <w:p w14:paraId="61056C96" w14:textId="77777777" w:rsidR="006C7A14" w:rsidRDefault="006C7A14" w:rsidP="00246B00">
      <w:pPr>
        <w:rPr>
          <w:b/>
          <w:bCs/>
        </w:rPr>
      </w:pPr>
      <w:bookmarkStart w:id="0" w:name="_GoBack"/>
      <w:bookmarkEnd w:id="0"/>
    </w:p>
    <w:p w14:paraId="2823B3ED" w14:textId="77777777" w:rsidR="006C7A14" w:rsidRDefault="006C7A14" w:rsidP="00246B00">
      <w:pPr>
        <w:rPr>
          <w:b/>
          <w:bCs/>
        </w:rPr>
      </w:pPr>
      <w:r>
        <w:rPr>
          <w:b/>
          <w:bCs/>
        </w:rPr>
        <w:t>Three types of memory</w:t>
      </w:r>
    </w:p>
    <w:p w14:paraId="7CBA411E" w14:textId="77777777" w:rsidR="00246B00" w:rsidRDefault="00246B00" w:rsidP="00246B00">
      <w:pPr>
        <w:rPr>
          <w:b/>
          <w:bCs/>
        </w:rPr>
      </w:pPr>
    </w:p>
    <w:p w14:paraId="10611AAE" w14:textId="77777777" w:rsidR="00246B00" w:rsidRPr="00246B00" w:rsidRDefault="00246B00" w:rsidP="00246B00">
      <w:r w:rsidRPr="00246B00">
        <w:rPr>
          <w:b/>
          <w:bCs/>
        </w:rPr>
        <w:t>Working Memory</w:t>
      </w:r>
    </w:p>
    <w:p w14:paraId="78494592" w14:textId="77777777" w:rsidR="00246B00" w:rsidRPr="00246B00" w:rsidRDefault="00246B00" w:rsidP="00246B00">
      <w:r w:rsidRPr="00246B00">
        <w:t xml:space="preserve">Working memory, also sometimes called "short-term memory," is located in several areas in the </w:t>
      </w:r>
      <w:r w:rsidRPr="006C7A14">
        <w:rPr>
          <w:b/>
        </w:rPr>
        <w:t>frontal lobe</w:t>
      </w:r>
      <w:r w:rsidRPr="00246B00">
        <w:t xml:space="preserve">. </w:t>
      </w:r>
    </w:p>
    <w:p w14:paraId="2DFEF35E" w14:textId="77777777" w:rsidR="00246B00" w:rsidRDefault="00246B00" w:rsidP="00246B00">
      <w:r w:rsidRPr="00246B00">
        <w:t>It is now believed that the average person can keep only three or four items in their working memory at any one time. People with high-capacity working memory rely on "chunking," a pr</w:t>
      </w:r>
      <w:r w:rsidR="006C7A14">
        <w:t>ocess that groups items together</w:t>
      </w:r>
      <w:r w:rsidRPr="00246B00">
        <w:t>.</w:t>
      </w:r>
    </w:p>
    <w:p w14:paraId="28CB2468" w14:textId="77777777" w:rsidR="00246B00" w:rsidRDefault="00246B00" w:rsidP="00246B00"/>
    <w:p w14:paraId="144079A8" w14:textId="77777777" w:rsidR="00246B00" w:rsidRPr="00246B00" w:rsidRDefault="00246B00" w:rsidP="00246B00">
      <w:r w:rsidRPr="00246B00">
        <w:rPr>
          <w:b/>
          <w:bCs/>
        </w:rPr>
        <w:t>Declarative Memory</w:t>
      </w:r>
    </w:p>
    <w:p w14:paraId="0887EDA3" w14:textId="77777777" w:rsidR="006C7A14" w:rsidRPr="00246B00" w:rsidRDefault="00246B00" w:rsidP="006C7A14">
      <w:r w:rsidRPr="00246B00">
        <w:t xml:space="preserve">Declarative memory is an umbrella term for </w:t>
      </w:r>
      <w:r w:rsidRPr="00246B00">
        <w:rPr>
          <w:b/>
        </w:rPr>
        <w:t>episodic memory</w:t>
      </w:r>
      <w:r w:rsidRPr="00246B00">
        <w:t xml:space="preserve">, which is memory of events, and </w:t>
      </w:r>
      <w:r w:rsidRPr="00246B00">
        <w:rPr>
          <w:b/>
        </w:rPr>
        <w:t>semantic memory</w:t>
      </w:r>
      <w:r w:rsidRPr="00246B00">
        <w:t>, which is memory of rules and fact-based information.</w:t>
      </w:r>
      <w:r w:rsidR="006C7A14">
        <w:t xml:space="preserve"> </w:t>
      </w:r>
      <w:r w:rsidR="006C7A14" w:rsidRPr="00246B00">
        <w:t xml:space="preserve">Declarative memory is processed and stored in a number of different areas of the brains </w:t>
      </w:r>
      <w:r w:rsidR="006C7A14" w:rsidRPr="006C7A14">
        <w:rPr>
          <w:b/>
        </w:rPr>
        <w:t>limbic</w:t>
      </w:r>
      <w:r w:rsidR="006C7A14" w:rsidRPr="00246B00">
        <w:t xml:space="preserve"> and </w:t>
      </w:r>
      <w:r w:rsidR="006C7A14" w:rsidRPr="006C7A14">
        <w:rPr>
          <w:b/>
        </w:rPr>
        <w:t>cortical systems</w:t>
      </w:r>
      <w:r w:rsidR="006C7A14" w:rsidRPr="00246B00">
        <w:t>.</w:t>
      </w:r>
    </w:p>
    <w:p w14:paraId="61B44441" w14:textId="77777777" w:rsidR="00246B00" w:rsidRDefault="00246B00" w:rsidP="00246B00"/>
    <w:p w14:paraId="5BAB5ABC" w14:textId="77777777" w:rsidR="006C7A14" w:rsidRDefault="006C7A14" w:rsidP="00246B00"/>
    <w:p w14:paraId="57C4D86E" w14:textId="77777777" w:rsidR="006C7A14" w:rsidRPr="00246B00" w:rsidRDefault="006C7A14" w:rsidP="006C7A14">
      <w:r w:rsidRPr="00246B00">
        <w:rPr>
          <w:b/>
          <w:bCs/>
        </w:rPr>
        <w:t>Procedural Memory</w:t>
      </w:r>
    </w:p>
    <w:p w14:paraId="35AFD0A6" w14:textId="77777777" w:rsidR="006C7A14" w:rsidRPr="00246B00" w:rsidRDefault="006C7A14" w:rsidP="006C7A14">
      <w:r w:rsidRPr="00246B00">
        <w:t>Procedural memory is routine-based "how-to" memory, as in memory of how to ride a bike or tie your shoes.</w:t>
      </w:r>
      <w:r>
        <w:t xml:space="preserve"> This kind of memory is primarily </w:t>
      </w:r>
      <w:r w:rsidRPr="00246B00">
        <w:t xml:space="preserve">located in the </w:t>
      </w:r>
      <w:r w:rsidRPr="006C7A14">
        <w:rPr>
          <w:b/>
        </w:rPr>
        <w:t>cerebellum</w:t>
      </w:r>
      <w:r w:rsidRPr="00246B00">
        <w:t>, or little brain, a separate structure underneath the cerebral hemispheres and attached to the bottom of the brain.</w:t>
      </w:r>
    </w:p>
    <w:p w14:paraId="333433AD" w14:textId="77777777" w:rsidR="00246B00" w:rsidRDefault="00246B00" w:rsidP="00246B00"/>
    <w:p w14:paraId="78E86048" w14:textId="77777777" w:rsidR="008D7DBF" w:rsidRDefault="008D7DBF" w:rsidP="00246B00"/>
    <w:p w14:paraId="74AF504E" w14:textId="77777777" w:rsidR="00246B00" w:rsidRPr="00246B00" w:rsidRDefault="006C7A14" w:rsidP="00246B00">
      <w:r>
        <w:t>Although a single memory is</w:t>
      </w:r>
      <w:r w:rsidR="00246B00">
        <w:t xml:space="preserve"> </w:t>
      </w:r>
      <w:r w:rsidR="00246B00" w:rsidRPr="00246B00">
        <w:t xml:space="preserve">processed in </w:t>
      </w:r>
      <w:r>
        <w:t>many distributed areas throughout the brain I’ll look at three critical areas for both working and declarative memory.</w:t>
      </w:r>
      <w:r w:rsidR="00246B00" w:rsidRPr="00246B00">
        <w:t xml:space="preserve"> </w:t>
      </w:r>
    </w:p>
    <w:p w14:paraId="04A8C616" w14:textId="77777777" w:rsidR="00246B00" w:rsidRDefault="00246B00" w:rsidP="00246B00"/>
    <w:p w14:paraId="59C3F64F" w14:textId="77777777" w:rsidR="00246B00" w:rsidRDefault="00246B00" w:rsidP="00246B00">
      <w:r w:rsidRPr="006C7A14">
        <w:rPr>
          <w:b/>
        </w:rPr>
        <w:t>The hippocampus</w:t>
      </w:r>
      <w:r w:rsidR="006C7A14">
        <w:rPr>
          <w:b/>
        </w:rPr>
        <w:t xml:space="preserve">: </w:t>
      </w:r>
      <w:r w:rsidRPr="00246B00">
        <w:t>a part of the limbic system located in the basal medial part of the temporal lobe, is responsible for processing memory for context.</w:t>
      </w:r>
      <w:r w:rsidRPr="00246B00">
        <w:rPr>
          <w:rFonts w:eastAsiaTheme="minorEastAsia" w:hAnsi="Calibri"/>
          <w:color w:val="000000" w:themeColor="text1"/>
          <w:kern w:val="24"/>
          <w:sz w:val="36"/>
          <w:szCs w:val="36"/>
        </w:rPr>
        <w:t xml:space="preserve"> </w:t>
      </w:r>
      <w:r w:rsidRPr="00246B00">
        <w:t>The task of consolidating short-term memories into long-term memories is performed by the hippocampus</w:t>
      </w:r>
    </w:p>
    <w:p w14:paraId="4DCD1701" w14:textId="77777777" w:rsidR="00246B00" w:rsidRDefault="00246B00" w:rsidP="00246B00"/>
    <w:p w14:paraId="4FF86731" w14:textId="77777777" w:rsidR="00246B00" w:rsidRPr="00246B00" w:rsidRDefault="00246B00" w:rsidP="00246B00">
      <w:r w:rsidRPr="006C7A14">
        <w:rPr>
          <w:b/>
        </w:rPr>
        <w:t>The anterior cingulate cortex</w:t>
      </w:r>
      <w:r w:rsidR="006C7A14">
        <w:rPr>
          <w:b/>
        </w:rPr>
        <w:t>:</w:t>
      </w:r>
      <w:r w:rsidRPr="00246B00">
        <w:t xml:space="preserve"> a part of the cerebral cortex connected with the prefrontal cortex, is involved in retaining unpleasant memories.</w:t>
      </w:r>
      <w:r w:rsidRPr="00246B00">
        <w:rPr>
          <w:rFonts w:eastAsiaTheme="minorEastAsia" w:hAnsi="Calibri"/>
          <w:color w:val="000000" w:themeColor="text1"/>
          <w:kern w:val="24"/>
          <w:sz w:val="36"/>
          <w:szCs w:val="36"/>
        </w:rPr>
        <w:t xml:space="preserve"> </w:t>
      </w:r>
      <w:r w:rsidRPr="00246B00">
        <w:t>A more comprehensive and recent theory describes the ACC as a more active component and poses that it detects and monitors errors, evaluates the degree of the error, and then suggests an appropriate form of action to be implemented by the motor system.</w:t>
      </w:r>
    </w:p>
    <w:p w14:paraId="079B96E0" w14:textId="77777777" w:rsidR="00246B00" w:rsidRDefault="00246B00" w:rsidP="00246B00"/>
    <w:p w14:paraId="76F7BB34" w14:textId="77777777" w:rsidR="00246B00" w:rsidRPr="00246B00" w:rsidRDefault="006C7A14" w:rsidP="00246B00">
      <w:r w:rsidRPr="006C7A14">
        <w:rPr>
          <w:b/>
        </w:rPr>
        <w:t>the amygdala:</w:t>
      </w:r>
      <w:r w:rsidR="00246B00" w:rsidRPr="00246B00">
        <w:t xml:space="preserve"> an almond-shaped subcortical region in the medial temporal lobe, binds memories together and initiates the storage of both contextual and unpleasant information.</w:t>
      </w:r>
    </w:p>
    <w:p w14:paraId="18D5C410" w14:textId="77777777" w:rsidR="00246B00" w:rsidRPr="00246B00" w:rsidRDefault="00246B00" w:rsidP="00246B00">
      <w:r w:rsidRPr="00246B00">
        <w:t>the amygdala sorts experiences worth storing from those that are not on the basis of emotional significance.</w:t>
      </w:r>
    </w:p>
    <w:p w14:paraId="5BCF4B30" w14:textId="77777777" w:rsidR="00246B00" w:rsidRDefault="00246B00" w:rsidP="00246B00"/>
    <w:p w14:paraId="3A84652D" w14:textId="77777777" w:rsidR="00246B00" w:rsidRPr="00246B00" w:rsidRDefault="00246B00" w:rsidP="00246B00"/>
    <w:p w14:paraId="042A490A" w14:textId="77777777" w:rsidR="00246B00" w:rsidRPr="00246B00" w:rsidRDefault="00246B00" w:rsidP="00246B00"/>
    <w:p w14:paraId="3A1B629D" w14:textId="7914AD39" w:rsidR="001B08E2" w:rsidRDefault="006C7A14" w:rsidP="00246B00">
      <w:r>
        <w:lastRenderedPageBreak/>
        <w:t xml:space="preserve">Narrative devices such as this can help to increase the salience of visual </w:t>
      </w:r>
      <w:r w:rsidR="001B08E2">
        <w:t>information in a number of ways.</w:t>
      </w:r>
    </w:p>
    <w:p w14:paraId="4FC79458" w14:textId="77777777" w:rsidR="001B08E2" w:rsidRDefault="001B08E2" w:rsidP="00246B00"/>
    <w:p w14:paraId="3692CD36" w14:textId="1355E2BF" w:rsidR="001B08E2" w:rsidRDefault="001B08E2" w:rsidP="007E3A3D">
      <w:pPr>
        <w:pStyle w:val="ListParagraph"/>
        <w:numPr>
          <w:ilvl w:val="0"/>
          <w:numId w:val="1"/>
        </w:numPr>
      </w:pPr>
      <w:r>
        <w:t>Our working memory is extremely limited (three or four items</w:t>
      </w:r>
      <w:r>
        <w:t>, although some recent research says this may be as low as one item!</w:t>
      </w:r>
      <w:r>
        <w:t>). We increase our working memory by chunking information together. Working memory can be aided by schemas, associating new things with things that are already known.</w:t>
      </w:r>
    </w:p>
    <w:p w14:paraId="0B0E65CF" w14:textId="77777777" w:rsidR="00502AAD" w:rsidRDefault="00502AAD" w:rsidP="001B08E2"/>
    <w:p w14:paraId="3D8D326A" w14:textId="27B57F7B" w:rsidR="00502AAD" w:rsidRDefault="00502AAD" w:rsidP="007E3A3D">
      <w:pPr>
        <w:pStyle w:val="ListParagraph"/>
        <w:numPr>
          <w:ilvl w:val="0"/>
          <w:numId w:val="1"/>
        </w:numPr>
      </w:pPr>
      <w:r>
        <w:t>Novelty helps memory formation</w:t>
      </w:r>
      <w:r>
        <w:t xml:space="preserve">. New, pleasurable, and even lightly stressful events </w:t>
      </w:r>
      <w:r w:rsidR="008D7DBF">
        <w:t>cause a release of neurotransmitters (dopamine in particular) that will briefly cause neurons to be more receptive to making new connections making your brain more plastic.</w:t>
      </w:r>
    </w:p>
    <w:p w14:paraId="38D750E8" w14:textId="77777777" w:rsidR="001B08E2" w:rsidRDefault="001B08E2" w:rsidP="001B08E2"/>
    <w:p w14:paraId="3747A847" w14:textId="0DC649EB" w:rsidR="001B08E2" w:rsidRDefault="001B08E2" w:rsidP="007E3A3D">
      <w:pPr>
        <w:pStyle w:val="ListParagraph"/>
        <w:numPr>
          <w:ilvl w:val="0"/>
          <w:numId w:val="1"/>
        </w:numPr>
      </w:pPr>
      <w:r>
        <w:t>Emotional context can aid (or hinder) memory formation</w:t>
      </w:r>
      <w:r w:rsidR="00502AAD">
        <w:t xml:space="preserve"> depending on its nature and intensity</w:t>
      </w:r>
      <w:r>
        <w:t>. The amygdala</w:t>
      </w:r>
      <w:r>
        <w:t>,</w:t>
      </w:r>
      <w:r>
        <w:t xml:space="preserve"> </w:t>
      </w:r>
      <w:r>
        <w:t xml:space="preserve">along with other Limbic system structures, </w:t>
      </w:r>
      <w:r>
        <w:t xml:space="preserve">acts as a </w:t>
      </w:r>
      <w:r>
        <w:t>gate determining what is important</w:t>
      </w:r>
      <w:r>
        <w:t xml:space="preserve"> enough to send to long term memory.</w:t>
      </w:r>
    </w:p>
    <w:p w14:paraId="1BD9754A" w14:textId="77777777" w:rsidR="00502AAD" w:rsidRDefault="00502AAD" w:rsidP="001B08E2"/>
    <w:p w14:paraId="00754BBD" w14:textId="78A930E9" w:rsidR="00502AAD" w:rsidRDefault="00502AAD" w:rsidP="007E3A3D">
      <w:pPr>
        <w:pStyle w:val="ListParagraph"/>
        <w:numPr>
          <w:ilvl w:val="0"/>
          <w:numId w:val="1"/>
        </w:numPr>
      </w:pPr>
      <w:r>
        <w:t>Both auditory and linguistic information can help with the retention of congruent visual information.</w:t>
      </w:r>
    </w:p>
    <w:p w14:paraId="6540C85E" w14:textId="47A2E8BE" w:rsidR="00246B00" w:rsidRDefault="009A6CA4" w:rsidP="00246B00">
      <w:r>
        <w:t xml:space="preserve"> </w:t>
      </w:r>
    </w:p>
    <w:p w14:paraId="294656F3" w14:textId="1CF5B042" w:rsidR="001B08E2" w:rsidRPr="00246B00" w:rsidRDefault="00502AAD" w:rsidP="00246B00">
      <w:pPr>
        <w:pStyle w:val="ListParagraph"/>
        <w:numPr>
          <w:ilvl w:val="0"/>
          <w:numId w:val="1"/>
        </w:numPr>
      </w:pPr>
      <w:r>
        <w:t xml:space="preserve">Narratives, particularly ones that you imagine, are multi sensory experiences for us and can recruit a number of different brain areas. For </w:t>
      </w:r>
      <w:r w:rsidR="003A53D2">
        <w:t>example,</w:t>
      </w:r>
      <w:r>
        <w:t xml:space="preserve"> FMRI scans reveal that simply imagining your body movements will drive activity in those associated motor areas. </w:t>
      </w:r>
    </w:p>
    <w:p w14:paraId="00258923" w14:textId="21950F4E" w:rsidR="00246B00" w:rsidRDefault="00A608EE">
      <w:r w:rsidRPr="00A608EE">
        <w:drawing>
          <wp:inline distT="0" distB="0" distL="0" distR="0" wp14:anchorId="405581A1" wp14:editId="4F3F67DF">
            <wp:extent cx="5423535" cy="3594830"/>
            <wp:effectExtent l="0" t="0" r="1206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33577" cy="3601486"/>
                    </a:xfrm>
                    <a:prstGeom prst="rect">
                      <a:avLst/>
                    </a:prstGeom>
                  </pic:spPr>
                </pic:pic>
              </a:graphicData>
            </a:graphic>
          </wp:inline>
        </w:drawing>
      </w:r>
    </w:p>
    <w:p w14:paraId="324B2136" w14:textId="1D5058EA" w:rsidR="004E3DF5" w:rsidRDefault="004E3DF5">
      <w:r>
        <w:t>Further reading:</w:t>
      </w:r>
    </w:p>
    <w:p w14:paraId="0745D6DC" w14:textId="77777777" w:rsidR="004E3DF5" w:rsidRDefault="004E3DF5"/>
    <w:p w14:paraId="145E9C04" w14:textId="77777777" w:rsidR="004E3DF5" w:rsidRPr="00097BAD" w:rsidRDefault="004E3DF5" w:rsidP="004E3DF5">
      <w:pPr>
        <w:spacing w:before="100" w:beforeAutospacing="1" w:after="100" w:afterAutospacing="1"/>
        <w:outlineLvl w:val="0"/>
        <w:rPr>
          <w:rFonts w:eastAsia="Times New Roman" w:cs="Times New Roman"/>
          <w:b/>
          <w:bCs/>
          <w:kern w:val="36"/>
        </w:rPr>
      </w:pPr>
      <w:r w:rsidRPr="00097BAD">
        <w:rPr>
          <w:rFonts w:eastAsia="Times New Roman" w:cs="Times New Roman"/>
          <w:b/>
          <w:bCs/>
          <w:kern w:val="36"/>
        </w:rPr>
        <w:t>The Influences of Emotion on Learning and Memory</w:t>
      </w:r>
    </w:p>
    <w:p w14:paraId="0C940DFD" w14:textId="77777777" w:rsidR="004E3DF5" w:rsidRPr="00097BAD" w:rsidRDefault="004E3DF5" w:rsidP="004E3DF5">
      <w:pPr>
        <w:rPr>
          <w:rFonts w:eastAsia="Times New Roman" w:cs="Times New Roman"/>
        </w:rPr>
      </w:pPr>
      <w:hyperlink r:id="rId6" w:history="1">
        <w:r w:rsidRPr="004E3DF5">
          <w:rPr>
            <w:rFonts w:eastAsia="Times New Roman" w:cs="Times New Roman"/>
            <w:color w:val="0000FF"/>
            <w:u w:val="single"/>
          </w:rPr>
          <w:t xml:space="preserve">Chai M. </w:t>
        </w:r>
        <w:proofErr w:type="spellStart"/>
        <w:r w:rsidRPr="004E3DF5">
          <w:rPr>
            <w:rFonts w:eastAsia="Times New Roman" w:cs="Times New Roman"/>
            <w:color w:val="0000FF"/>
            <w:u w:val="single"/>
          </w:rPr>
          <w:t>Tyng</w:t>
        </w:r>
        <w:proofErr w:type="spellEnd"/>
      </w:hyperlink>
      <w:r w:rsidRPr="00097BAD">
        <w:rPr>
          <w:rFonts w:eastAsia="Times New Roman" w:cs="Times New Roman"/>
        </w:rPr>
        <w:t xml:space="preserve">, </w:t>
      </w:r>
      <w:hyperlink r:id="rId7" w:history="1">
        <w:proofErr w:type="spellStart"/>
        <w:r w:rsidRPr="004E3DF5">
          <w:rPr>
            <w:rFonts w:eastAsia="Times New Roman" w:cs="Times New Roman"/>
            <w:color w:val="0000FF"/>
            <w:u w:val="single"/>
          </w:rPr>
          <w:t>Hafeez</w:t>
        </w:r>
        <w:proofErr w:type="spellEnd"/>
        <w:r w:rsidRPr="004E3DF5">
          <w:rPr>
            <w:rFonts w:eastAsia="Times New Roman" w:cs="Times New Roman"/>
            <w:color w:val="0000FF"/>
            <w:u w:val="single"/>
          </w:rPr>
          <w:t xml:space="preserve"> U. Amin</w:t>
        </w:r>
      </w:hyperlink>
      <w:r w:rsidRPr="00097BAD">
        <w:rPr>
          <w:rFonts w:eastAsia="Times New Roman" w:cs="Times New Roman"/>
        </w:rPr>
        <w:t xml:space="preserve">, </w:t>
      </w:r>
      <w:hyperlink r:id="rId8" w:history="1">
        <w:r w:rsidRPr="004E3DF5">
          <w:rPr>
            <w:rFonts w:eastAsia="Times New Roman" w:cs="Times New Roman"/>
            <w:color w:val="0000FF"/>
            <w:u w:val="single"/>
          </w:rPr>
          <w:t xml:space="preserve">Mohamad N. M. </w:t>
        </w:r>
        <w:proofErr w:type="spellStart"/>
        <w:r w:rsidRPr="004E3DF5">
          <w:rPr>
            <w:rFonts w:eastAsia="Times New Roman" w:cs="Times New Roman"/>
            <w:color w:val="0000FF"/>
            <w:u w:val="single"/>
          </w:rPr>
          <w:t>Saad</w:t>
        </w:r>
        <w:proofErr w:type="spellEnd"/>
      </w:hyperlink>
      <w:r w:rsidRPr="00097BAD">
        <w:rPr>
          <w:rFonts w:eastAsia="Times New Roman" w:cs="Times New Roman"/>
        </w:rPr>
        <w:t xml:space="preserve">, and </w:t>
      </w:r>
      <w:hyperlink r:id="rId9" w:history="1">
        <w:proofErr w:type="spellStart"/>
        <w:r w:rsidRPr="004E3DF5">
          <w:rPr>
            <w:rFonts w:eastAsia="Times New Roman" w:cs="Times New Roman"/>
            <w:color w:val="0000FF"/>
            <w:u w:val="single"/>
          </w:rPr>
          <w:t>Aamir</w:t>
        </w:r>
        <w:proofErr w:type="spellEnd"/>
        <w:r w:rsidRPr="004E3DF5">
          <w:rPr>
            <w:rFonts w:eastAsia="Times New Roman" w:cs="Times New Roman"/>
            <w:color w:val="0000FF"/>
            <w:u w:val="single"/>
          </w:rPr>
          <w:t xml:space="preserve"> S. Malik</w:t>
        </w:r>
      </w:hyperlink>
      <w:r w:rsidRPr="00097BAD">
        <w:rPr>
          <w:rFonts w:eastAsia="Times New Roman" w:cs="Times New Roman"/>
          <w:vertAlign w:val="superscript"/>
        </w:rPr>
        <w:t>*</w:t>
      </w:r>
    </w:p>
    <w:p w14:paraId="26E94FCB" w14:textId="77777777" w:rsidR="004E3DF5" w:rsidRPr="004E3DF5" w:rsidRDefault="004E3DF5" w:rsidP="004E3DF5"/>
    <w:p w14:paraId="5FA6F104" w14:textId="77777777" w:rsidR="004E3DF5" w:rsidRPr="004E3DF5" w:rsidRDefault="004E3DF5" w:rsidP="004E3DF5">
      <w:hyperlink r:id="rId10" w:history="1">
        <w:r w:rsidRPr="004E3DF5">
          <w:rPr>
            <w:rStyle w:val="Hyperlink"/>
          </w:rPr>
          <w:t>https://www.ncbi.nlm.nih.gov/pmc/articles/PMC</w:t>
        </w:r>
        <w:r w:rsidRPr="004E3DF5">
          <w:rPr>
            <w:rStyle w:val="Hyperlink"/>
          </w:rPr>
          <w:t>5</w:t>
        </w:r>
        <w:r w:rsidRPr="004E3DF5">
          <w:rPr>
            <w:rStyle w:val="Hyperlink"/>
          </w:rPr>
          <w:t>573739/</w:t>
        </w:r>
      </w:hyperlink>
    </w:p>
    <w:p w14:paraId="2279113A" w14:textId="77777777" w:rsidR="004E3DF5" w:rsidRPr="004E3DF5" w:rsidRDefault="004E3DF5" w:rsidP="004E3DF5"/>
    <w:p w14:paraId="1996B1B1" w14:textId="77777777" w:rsidR="004E3DF5" w:rsidRPr="00097BAD" w:rsidRDefault="004E3DF5" w:rsidP="004E3DF5">
      <w:pPr>
        <w:spacing w:before="100" w:beforeAutospacing="1" w:after="100" w:afterAutospacing="1"/>
        <w:outlineLvl w:val="0"/>
        <w:rPr>
          <w:rFonts w:eastAsia="Times New Roman" w:cs="Times New Roman"/>
          <w:b/>
          <w:bCs/>
          <w:kern w:val="36"/>
        </w:rPr>
      </w:pPr>
      <w:r w:rsidRPr="00097BAD">
        <w:rPr>
          <w:rFonts w:eastAsia="Times New Roman" w:cs="Times New Roman"/>
          <w:b/>
          <w:bCs/>
          <w:kern w:val="36"/>
        </w:rPr>
        <w:t>Emotional learning selectively and retroactively strengthens memories for related events.</w:t>
      </w:r>
    </w:p>
    <w:p w14:paraId="452BA20D" w14:textId="77777777" w:rsidR="004E3DF5" w:rsidRPr="00097BAD" w:rsidRDefault="004E3DF5" w:rsidP="004E3DF5">
      <w:pPr>
        <w:rPr>
          <w:rFonts w:eastAsia="Times New Roman" w:cs="Times New Roman"/>
        </w:rPr>
      </w:pPr>
      <w:hyperlink r:id="rId11" w:history="1">
        <w:proofErr w:type="spellStart"/>
        <w:r w:rsidRPr="004E3DF5">
          <w:rPr>
            <w:rFonts w:eastAsia="Times New Roman" w:cs="Times New Roman"/>
            <w:color w:val="0000FF"/>
            <w:u w:val="single"/>
          </w:rPr>
          <w:t>Dunsmoor</w:t>
        </w:r>
        <w:proofErr w:type="spellEnd"/>
        <w:r w:rsidRPr="004E3DF5">
          <w:rPr>
            <w:rFonts w:eastAsia="Times New Roman" w:cs="Times New Roman"/>
            <w:color w:val="0000FF"/>
            <w:u w:val="single"/>
          </w:rPr>
          <w:t xml:space="preserve"> JE</w:t>
        </w:r>
      </w:hyperlink>
      <w:r w:rsidRPr="00097BAD">
        <w:rPr>
          <w:rFonts w:eastAsia="Times New Roman" w:cs="Times New Roman"/>
          <w:vertAlign w:val="superscript"/>
        </w:rPr>
        <w:t>1</w:t>
      </w:r>
      <w:r w:rsidRPr="00097BAD">
        <w:rPr>
          <w:rFonts w:eastAsia="Times New Roman" w:cs="Times New Roman"/>
        </w:rPr>
        <w:t xml:space="preserve">, </w:t>
      </w:r>
      <w:hyperlink r:id="rId12" w:history="1">
        <w:proofErr w:type="spellStart"/>
        <w:r w:rsidRPr="004E3DF5">
          <w:rPr>
            <w:rFonts w:eastAsia="Times New Roman" w:cs="Times New Roman"/>
            <w:color w:val="0000FF"/>
            <w:u w:val="single"/>
          </w:rPr>
          <w:t>Murty</w:t>
        </w:r>
        <w:proofErr w:type="spellEnd"/>
        <w:r w:rsidRPr="004E3DF5">
          <w:rPr>
            <w:rFonts w:eastAsia="Times New Roman" w:cs="Times New Roman"/>
            <w:color w:val="0000FF"/>
            <w:u w:val="single"/>
          </w:rPr>
          <w:t xml:space="preserve"> VP</w:t>
        </w:r>
      </w:hyperlink>
      <w:r w:rsidRPr="00097BAD">
        <w:rPr>
          <w:rFonts w:eastAsia="Times New Roman" w:cs="Times New Roman"/>
          <w:vertAlign w:val="superscript"/>
        </w:rPr>
        <w:t>1</w:t>
      </w:r>
      <w:r w:rsidRPr="00097BAD">
        <w:rPr>
          <w:rFonts w:eastAsia="Times New Roman" w:cs="Times New Roman"/>
        </w:rPr>
        <w:t xml:space="preserve">, </w:t>
      </w:r>
      <w:hyperlink r:id="rId13" w:history="1">
        <w:proofErr w:type="spellStart"/>
        <w:r w:rsidRPr="004E3DF5">
          <w:rPr>
            <w:rFonts w:eastAsia="Times New Roman" w:cs="Times New Roman"/>
            <w:color w:val="0000FF"/>
            <w:u w:val="single"/>
          </w:rPr>
          <w:t>Davachi</w:t>
        </w:r>
        <w:proofErr w:type="spellEnd"/>
        <w:r w:rsidRPr="004E3DF5">
          <w:rPr>
            <w:rFonts w:eastAsia="Times New Roman" w:cs="Times New Roman"/>
            <w:color w:val="0000FF"/>
            <w:u w:val="single"/>
          </w:rPr>
          <w:t xml:space="preserve"> L</w:t>
        </w:r>
      </w:hyperlink>
      <w:r w:rsidRPr="00097BAD">
        <w:rPr>
          <w:rFonts w:eastAsia="Times New Roman" w:cs="Times New Roman"/>
          <w:vertAlign w:val="superscript"/>
        </w:rPr>
        <w:t>1</w:t>
      </w:r>
      <w:r w:rsidRPr="00097BAD">
        <w:rPr>
          <w:rFonts w:eastAsia="Times New Roman" w:cs="Times New Roman"/>
        </w:rPr>
        <w:t xml:space="preserve">, </w:t>
      </w:r>
      <w:hyperlink r:id="rId14" w:history="1">
        <w:r w:rsidRPr="004E3DF5">
          <w:rPr>
            <w:rFonts w:eastAsia="Times New Roman" w:cs="Times New Roman"/>
            <w:color w:val="0000FF"/>
            <w:u w:val="single"/>
          </w:rPr>
          <w:t>Phelps EA</w:t>
        </w:r>
      </w:hyperlink>
      <w:r w:rsidRPr="00097BAD">
        <w:rPr>
          <w:rFonts w:eastAsia="Times New Roman" w:cs="Times New Roman"/>
          <w:vertAlign w:val="superscript"/>
        </w:rPr>
        <w:t>2</w:t>
      </w:r>
      <w:r w:rsidRPr="00097BAD">
        <w:rPr>
          <w:rFonts w:eastAsia="Times New Roman" w:cs="Times New Roman"/>
        </w:rPr>
        <w:t>.</w:t>
      </w:r>
    </w:p>
    <w:p w14:paraId="35F4A2E4" w14:textId="77777777" w:rsidR="004E3DF5" w:rsidRPr="004E3DF5" w:rsidRDefault="004E3DF5" w:rsidP="004E3DF5"/>
    <w:p w14:paraId="0519DA53" w14:textId="77777777" w:rsidR="004E3DF5" w:rsidRPr="004E3DF5" w:rsidRDefault="004E3DF5" w:rsidP="004E3DF5">
      <w:hyperlink r:id="rId15" w:history="1">
        <w:r w:rsidRPr="004E3DF5">
          <w:rPr>
            <w:rStyle w:val="Hyperlink"/>
          </w:rPr>
          <w:t>https://www.ncbi.nlm.nih.gov/pubmed/25607357?dopt=Abstract&amp;holding=npg</w:t>
        </w:r>
      </w:hyperlink>
    </w:p>
    <w:p w14:paraId="4BD95F4B" w14:textId="77777777" w:rsidR="004E3DF5" w:rsidRPr="004E3DF5" w:rsidRDefault="004E3DF5" w:rsidP="004E3DF5"/>
    <w:p w14:paraId="6D29A27A" w14:textId="77777777" w:rsidR="004E3DF5" w:rsidRPr="00097BAD" w:rsidRDefault="004E3DF5" w:rsidP="004E3DF5">
      <w:pPr>
        <w:spacing w:before="100" w:beforeAutospacing="1" w:after="100" w:afterAutospacing="1"/>
        <w:outlineLvl w:val="0"/>
        <w:rPr>
          <w:rFonts w:eastAsia="Times New Roman" w:cs="Times New Roman"/>
          <w:b/>
          <w:bCs/>
          <w:kern w:val="36"/>
        </w:rPr>
      </w:pPr>
      <w:r w:rsidRPr="00097BAD">
        <w:rPr>
          <w:rFonts w:eastAsia="Times New Roman" w:cs="Times New Roman"/>
          <w:b/>
          <w:bCs/>
          <w:kern w:val="36"/>
        </w:rPr>
        <w:t>Two types of event memory</w:t>
      </w:r>
    </w:p>
    <w:p w14:paraId="714B012D" w14:textId="77777777" w:rsidR="004E3DF5" w:rsidRPr="00097BAD" w:rsidRDefault="004E3DF5" w:rsidP="004E3DF5">
      <w:pPr>
        <w:rPr>
          <w:rFonts w:eastAsia="Times New Roman" w:cs="Times New Roman"/>
        </w:rPr>
      </w:pPr>
      <w:hyperlink r:id="rId16" w:history="1">
        <w:r w:rsidRPr="004E3DF5">
          <w:rPr>
            <w:rFonts w:eastAsia="Times New Roman" w:cs="Times New Roman"/>
            <w:color w:val="0000FF"/>
            <w:u w:val="single"/>
          </w:rPr>
          <w:t xml:space="preserve">Henry L. </w:t>
        </w:r>
        <w:proofErr w:type="spellStart"/>
        <w:r w:rsidRPr="004E3DF5">
          <w:rPr>
            <w:rFonts w:eastAsia="Times New Roman" w:cs="Times New Roman"/>
            <w:color w:val="0000FF"/>
            <w:u w:val="single"/>
          </w:rPr>
          <w:t>Roediger</w:t>
        </w:r>
        <w:proofErr w:type="spellEnd"/>
        <w:r w:rsidRPr="004E3DF5">
          <w:rPr>
            <w:rFonts w:eastAsia="Times New Roman" w:cs="Times New Roman"/>
            <w:color w:val="0000FF"/>
            <w:u w:val="single"/>
          </w:rPr>
          <w:t>, III</w:t>
        </w:r>
      </w:hyperlink>
      <w:r w:rsidRPr="00097BAD">
        <w:rPr>
          <w:rFonts w:eastAsia="Times New Roman" w:cs="Times New Roman"/>
          <w:vertAlign w:val="superscript"/>
        </w:rPr>
        <w:t>1</w:t>
      </w:r>
      <w:r w:rsidRPr="00097BAD">
        <w:rPr>
          <w:rFonts w:eastAsia="Times New Roman" w:cs="Times New Roman"/>
        </w:rPr>
        <w:t xml:space="preserve"> and </w:t>
      </w:r>
      <w:hyperlink r:id="rId17" w:history="1">
        <w:r w:rsidRPr="004E3DF5">
          <w:rPr>
            <w:rFonts w:eastAsia="Times New Roman" w:cs="Times New Roman"/>
            <w:color w:val="0000FF"/>
            <w:u w:val="single"/>
          </w:rPr>
          <w:t xml:space="preserve">Kathleen B. </w:t>
        </w:r>
        <w:proofErr w:type="spellStart"/>
        <w:r w:rsidRPr="004E3DF5">
          <w:rPr>
            <w:rFonts w:eastAsia="Times New Roman" w:cs="Times New Roman"/>
            <w:color w:val="0000FF"/>
            <w:u w:val="single"/>
          </w:rPr>
          <w:t>McDermot</w:t>
        </w:r>
        <w:proofErr w:type="spellEnd"/>
      </w:hyperlink>
    </w:p>
    <w:p w14:paraId="65791A0D" w14:textId="77777777" w:rsidR="004E3DF5" w:rsidRPr="004E3DF5" w:rsidRDefault="004E3DF5" w:rsidP="004E3DF5"/>
    <w:p w14:paraId="71E9448E" w14:textId="77777777" w:rsidR="004E3DF5" w:rsidRPr="004E3DF5" w:rsidRDefault="004E3DF5" w:rsidP="004E3DF5"/>
    <w:p w14:paraId="1CF7E1A4" w14:textId="77777777" w:rsidR="004E3DF5" w:rsidRPr="004E3DF5" w:rsidRDefault="004E3DF5" w:rsidP="004E3DF5">
      <w:hyperlink r:id="rId18" w:history="1">
        <w:r w:rsidRPr="004E3DF5">
          <w:rPr>
            <w:rStyle w:val="Hyperlink"/>
          </w:rPr>
          <w:t>https://www.ncbi.nlm.nih.gov/pmc/articles/PMC3876270/</w:t>
        </w:r>
      </w:hyperlink>
    </w:p>
    <w:p w14:paraId="6C981356" w14:textId="77777777" w:rsidR="004E3DF5" w:rsidRPr="004E3DF5" w:rsidRDefault="004E3DF5" w:rsidP="004E3DF5"/>
    <w:p w14:paraId="212AC461" w14:textId="77777777" w:rsidR="004E3DF5" w:rsidRPr="008D6DE6" w:rsidRDefault="004E3DF5" w:rsidP="004E3DF5">
      <w:pPr>
        <w:spacing w:before="100" w:beforeAutospacing="1" w:after="100" w:afterAutospacing="1"/>
        <w:outlineLvl w:val="0"/>
        <w:rPr>
          <w:rFonts w:eastAsia="Times New Roman" w:cs="Times New Roman"/>
          <w:b/>
          <w:bCs/>
          <w:kern w:val="36"/>
        </w:rPr>
      </w:pPr>
      <w:r w:rsidRPr="008D6DE6">
        <w:rPr>
          <w:rFonts w:eastAsia="Times New Roman" w:cs="Times New Roman"/>
          <w:b/>
          <w:bCs/>
          <w:kern w:val="36"/>
        </w:rPr>
        <w:t xml:space="preserve">Memorable Audiovisual Narratives Synchronize Sensory and </w:t>
      </w:r>
      <w:proofErr w:type="spellStart"/>
      <w:r w:rsidRPr="008D6DE6">
        <w:rPr>
          <w:rFonts w:eastAsia="Times New Roman" w:cs="Times New Roman"/>
          <w:b/>
          <w:bCs/>
          <w:kern w:val="36"/>
        </w:rPr>
        <w:t>Supramodal</w:t>
      </w:r>
      <w:proofErr w:type="spellEnd"/>
      <w:r w:rsidRPr="008D6DE6">
        <w:rPr>
          <w:rFonts w:eastAsia="Times New Roman" w:cs="Times New Roman"/>
          <w:b/>
          <w:bCs/>
          <w:kern w:val="36"/>
        </w:rPr>
        <w:t xml:space="preserve"> Neural Responses</w:t>
      </w:r>
    </w:p>
    <w:p w14:paraId="00BC73B7" w14:textId="77777777" w:rsidR="004E3DF5" w:rsidRPr="008D6DE6" w:rsidRDefault="004E3DF5" w:rsidP="004E3DF5">
      <w:pPr>
        <w:rPr>
          <w:rFonts w:eastAsia="Times New Roman" w:cs="Times New Roman"/>
        </w:rPr>
      </w:pPr>
      <w:hyperlink r:id="rId19" w:history="1">
        <w:r w:rsidRPr="004E3DF5">
          <w:rPr>
            <w:rFonts w:eastAsia="Times New Roman" w:cs="Times New Roman"/>
            <w:color w:val="0000FF"/>
            <w:u w:val="single"/>
          </w:rPr>
          <w:t>Samantha S. Cohen</w:t>
        </w:r>
      </w:hyperlink>
      <w:r w:rsidRPr="008D6DE6">
        <w:rPr>
          <w:rFonts w:eastAsia="Times New Roman" w:cs="Times New Roman"/>
          <w:vertAlign w:val="superscript"/>
        </w:rPr>
        <w:t>1</w:t>
      </w:r>
      <w:r w:rsidRPr="008D6DE6">
        <w:rPr>
          <w:rFonts w:eastAsia="Times New Roman" w:cs="Times New Roman"/>
        </w:rPr>
        <w:t xml:space="preserve"> and </w:t>
      </w:r>
      <w:hyperlink r:id="rId20" w:history="1">
        <w:r w:rsidRPr="004E3DF5">
          <w:rPr>
            <w:rFonts w:eastAsia="Times New Roman" w:cs="Times New Roman"/>
            <w:color w:val="0000FF"/>
            <w:u w:val="single"/>
          </w:rPr>
          <w:t>Lucas C. Parra</w:t>
        </w:r>
      </w:hyperlink>
      <w:r w:rsidRPr="004E3DF5">
        <w:rPr>
          <w:rFonts w:eastAsia="Times New Roman" w:cs="Times New Roman"/>
          <w:noProof/>
          <w:vertAlign w:val="superscript"/>
        </w:rPr>
        <mc:AlternateContent>
          <mc:Choice Requires="wps">
            <w:drawing>
              <wp:inline distT="0" distB="0" distL="0" distR="0" wp14:anchorId="10ABFAC1" wp14:editId="30BF6826">
                <wp:extent cx="308610" cy="308610"/>
                <wp:effectExtent l="0" t="0" r="0" b="0"/>
                <wp:docPr id="2" name="Rectangle 2" descr="orresponding autho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366A38" id="Rectangle_x0020_2" o:spid="_x0000_s1026" alt="orresponding author"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" filled="f" stroked="f">
                <o:lock v:ext="edit" aspectratio="t"/>
                <w10:anchorlock/>
              </v:rect>
            </w:pict>
          </mc:Fallback>
        </mc:AlternateContent>
      </w:r>
      <w:r w:rsidRPr="008D6DE6">
        <w:rPr>
          <w:rFonts w:eastAsia="Times New Roman" w:cs="Times New Roman"/>
          <w:vertAlign w:val="superscript"/>
        </w:rPr>
        <w:t>2</w:t>
      </w:r>
    </w:p>
    <w:p w14:paraId="58AFE8FA" w14:textId="77777777" w:rsidR="004E3DF5" w:rsidRPr="004E3DF5" w:rsidRDefault="004E3DF5" w:rsidP="004E3DF5"/>
    <w:p w14:paraId="6F89B32F" w14:textId="77777777" w:rsidR="004E3DF5" w:rsidRPr="004E3DF5" w:rsidRDefault="004E3DF5" w:rsidP="004E3DF5">
      <w:hyperlink r:id="rId21" w:history="1">
        <w:r w:rsidRPr="004E3DF5">
          <w:rPr>
            <w:rStyle w:val="Hyperlink"/>
          </w:rPr>
          <w:t>https://www.ncbi.nlm.nih.gov/pmc/articles/PMC5103161/</w:t>
        </w:r>
      </w:hyperlink>
    </w:p>
    <w:p w14:paraId="2E6FDC2E" w14:textId="77777777" w:rsidR="004E3DF5" w:rsidRDefault="004E3DF5"/>
    <w:p w14:paraId="715A9682" w14:textId="77777777" w:rsidR="004E3DF5" w:rsidRDefault="004E3DF5"/>
    <w:p w14:paraId="3B4CF4C9" w14:textId="388688D2" w:rsidR="004E3DF5" w:rsidRPr="004E3DF5" w:rsidRDefault="004E3DF5">
      <w:pPr>
        <w:rPr>
          <w:b/>
        </w:rPr>
      </w:pPr>
      <w:r w:rsidRPr="004E3DF5">
        <w:rPr>
          <w:rFonts w:ascii="Times New Roman" w:eastAsia="Times New Roman" w:hAnsi="Times New Roman" w:cs="Times New Roman"/>
          <w:b/>
        </w:rPr>
        <w:t xml:space="preserve">Abigail </w:t>
      </w:r>
      <w:proofErr w:type="spellStart"/>
      <w:r w:rsidRPr="004E3DF5">
        <w:rPr>
          <w:rFonts w:ascii="Times New Roman" w:eastAsia="Times New Roman" w:hAnsi="Times New Roman" w:cs="Times New Roman"/>
          <w:b/>
        </w:rPr>
        <w:t>Housen</w:t>
      </w:r>
      <w:proofErr w:type="spellEnd"/>
      <w:r w:rsidRPr="004E3DF5">
        <w:rPr>
          <w:rFonts w:ascii="Times New Roman" w:eastAsia="Times New Roman" w:hAnsi="Times New Roman" w:cs="Times New Roman"/>
          <w:b/>
        </w:rPr>
        <w:t xml:space="preserve"> and Philip </w:t>
      </w:r>
      <w:proofErr w:type="spellStart"/>
      <w:r w:rsidRPr="004E3DF5">
        <w:rPr>
          <w:rFonts w:ascii="Times New Roman" w:eastAsia="Times New Roman" w:hAnsi="Times New Roman" w:cs="Times New Roman"/>
          <w:b/>
        </w:rPr>
        <w:t>Yenawine’s</w:t>
      </w:r>
      <w:proofErr w:type="spellEnd"/>
      <w:r w:rsidRPr="004E3DF5">
        <w:rPr>
          <w:rFonts w:ascii="Times New Roman" w:eastAsia="Times New Roman" w:hAnsi="Times New Roman" w:cs="Times New Roman"/>
          <w:b/>
        </w:rPr>
        <w:t xml:space="preserve"> V</w:t>
      </w:r>
      <w:r w:rsidRPr="004E3DF5">
        <w:rPr>
          <w:rFonts w:ascii="Times New Roman" w:eastAsia="Times New Roman" w:hAnsi="Times New Roman" w:cs="Times New Roman"/>
          <w:b/>
        </w:rPr>
        <w:t xml:space="preserve">isual </w:t>
      </w:r>
      <w:r w:rsidRPr="004E3DF5">
        <w:rPr>
          <w:rFonts w:ascii="Times New Roman" w:eastAsia="Times New Roman" w:hAnsi="Times New Roman" w:cs="Times New Roman"/>
          <w:b/>
        </w:rPr>
        <w:t>T</w:t>
      </w:r>
      <w:r w:rsidRPr="004E3DF5">
        <w:rPr>
          <w:rFonts w:ascii="Times New Roman" w:eastAsia="Times New Roman" w:hAnsi="Times New Roman" w:cs="Times New Roman"/>
          <w:b/>
        </w:rPr>
        <w:t xml:space="preserve">hinking </w:t>
      </w:r>
      <w:r w:rsidRPr="004E3DF5">
        <w:rPr>
          <w:rFonts w:ascii="Times New Roman" w:eastAsia="Times New Roman" w:hAnsi="Times New Roman" w:cs="Times New Roman"/>
          <w:b/>
        </w:rPr>
        <w:t>S</w:t>
      </w:r>
      <w:r w:rsidRPr="004E3DF5">
        <w:rPr>
          <w:rFonts w:ascii="Times New Roman" w:eastAsia="Times New Roman" w:hAnsi="Times New Roman" w:cs="Times New Roman"/>
          <w:b/>
        </w:rPr>
        <w:t>trategies</w:t>
      </w:r>
    </w:p>
    <w:p w14:paraId="1C3BB077" w14:textId="77777777" w:rsidR="004E3DF5" w:rsidRDefault="004E3DF5"/>
    <w:p w14:paraId="3A0B4FD3" w14:textId="4025487C" w:rsidR="004E3DF5" w:rsidRDefault="004E3DF5">
      <w:hyperlink r:id="rId22" w:history="1">
        <w:r w:rsidRPr="0095359D">
          <w:rPr>
            <w:rStyle w:val="Hyperlink"/>
          </w:rPr>
          <w:t>https://vtshome.org/research/</w:t>
        </w:r>
      </w:hyperlink>
    </w:p>
    <w:p w14:paraId="5689CB7B" w14:textId="77777777" w:rsidR="004E3DF5" w:rsidRDefault="004E3DF5"/>
    <w:sectPr w:rsidR="004E3DF5" w:rsidSect="0000226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BBA6FD2"/>
    <w:multiLevelType w:val="hybridMultilevel"/>
    <w:tmpl w:val="DDD8212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12"/>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6B00"/>
    <w:rsid w:val="00002268"/>
    <w:rsid w:val="001B08E2"/>
    <w:rsid w:val="00246B00"/>
    <w:rsid w:val="003A53D2"/>
    <w:rsid w:val="003D2255"/>
    <w:rsid w:val="004E3DF5"/>
    <w:rsid w:val="00502AAD"/>
    <w:rsid w:val="006C7A14"/>
    <w:rsid w:val="00723AD8"/>
    <w:rsid w:val="007E3A3D"/>
    <w:rsid w:val="008D7DBF"/>
    <w:rsid w:val="009A6CA4"/>
    <w:rsid w:val="00A008ED"/>
    <w:rsid w:val="00A608EE"/>
    <w:rsid w:val="00A612B7"/>
    <w:rsid w:val="00CB1D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62F724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46B00"/>
    <w:pPr>
      <w:spacing w:before="100" w:beforeAutospacing="1" w:after="100" w:afterAutospacing="1"/>
    </w:pPr>
    <w:rPr>
      <w:rFonts w:ascii="Times New Roman" w:hAnsi="Times New Roman" w:cs="Times New Roman"/>
    </w:rPr>
  </w:style>
  <w:style w:type="paragraph" w:styleId="ListParagraph">
    <w:name w:val="List Paragraph"/>
    <w:basedOn w:val="Normal"/>
    <w:uiPriority w:val="34"/>
    <w:qFormat/>
    <w:rsid w:val="007E3A3D"/>
    <w:pPr>
      <w:ind w:left="720"/>
      <w:contextualSpacing/>
    </w:pPr>
  </w:style>
  <w:style w:type="character" w:styleId="Hyperlink">
    <w:name w:val="Hyperlink"/>
    <w:basedOn w:val="DefaultParagraphFont"/>
    <w:uiPriority w:val="99"/>
    <w:unhideWhenUsed/>
    <w:rsid w:val="004E3DF5"/>
    <w:rPr>
      <w:color w:val="0000FF"/>
      <w:u w:val="single"/>
    </w:rPr>
  </w:style>
  <w:style w:type="character" w:styleId="FollowedHyperlink">
    <w:name w:val="FollowedHyperlink"/>
    <w:basedOn w:val="DefaultParagraphFont"/>
    <w:uiPriority w:val="99"/>
    <w:semiHidden/>
    <w:unhideWhenUsed/>
    <w:rsid w:val="004E3DF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2304">
      <w:bodyDiv w:val="1"/>
      <w:marLeft w:val="0"/>
      <w:marRight w:val="0"/>
      <w:marTop w:val="0"/>
      <w:marBottom w:val="0"/>
      <w:divBdr>
        <w:top w:val="none" w:sz="0" w:space="0" w:color="auto"/>
        <w:left w:val="none" w:sz="0" w:space="0" w:color="auto"/>
        <w:bottom w:val="none" w:sz="0" w:space="0" w:color="auto"/>
        <w:right w:val="none" w:sz="0" w:space="0" w:color="auto"/>
      </w:divBdr>
    </w:div>
    <w:div w:id="43912030">
      <w:bodyDiv w:val="1"/>
      <w:marLeft w:val="0"/>
      <w:marRight w:val="0"/>
      <w:marTop w:val="0"/>
      <w:marBottom w:val="0"/>
      <w:divBdr>
        <w:top w:val="none" w:sz="0" w:space="0" w:color="auto"/>
        <w:left w:val="none" w:sz="0" w:space="0" w:color="auto"/>
        <w:bottom w:val="none" w:sz="0" w:space="0" w:color="auto"/>
        <w:right w:val="none" w:sz="0" w:space="0" w:color="auto"/>
      </w:divBdr>
    </w:div>
    <w:div w:id="230622834">
      <w:bodyDiv w:val="1"/>
      <w:marLeft w:val="0"/>
      <w:marRight w:val="0"/>
      <w:marTop w:val="0"/>
      <w:marBottom w:val="0"/>
      <w:divBdr>
        <w:top w:val="none" w:sz="0" w:space="0" w:color="auto"/>
        <w:left w:val="none" w:sz="0" w:space="0" w:color="auto"/>
        <w:bottom w:val="none" w:sz="0" w:space="0" w:color="auto"/>
        <w:right w:val="none" w:sz="0" w:space="0" w:color="auto"/>
      </w:divBdr>
    </w:div>
    <w:div w:id="337584071">
      <w:bodyDiv w:val="1"/>
      <w:marLeft w:val="0"/>
      <w:marRight w:val="0"/>
      <w:marTop w:val="0"/>
      <w:marBottom w:val="0"/>
      <w:divBdr>
        <w:top w:val="none" w:sz="0" w:space="0" w:color="auto"/>
        <w:left w:val="none" w:sz="0" w:space="0" w:color="auto"/>
        <w:bottom w:val="none" w:sz="0" w:space="0" w:color="auto"/>
        <w:right w:val="none" w:sz="0" w:space="0" w:color="auto"/>
      </w:divBdr>
    </w:div>
    <w:div w:id="465661339">
      <w:bodyDiv w:val="1"/>
      <w:marLeft w:val="0"/>
      <w:marRight w:val="0"/>
      <w:marTop w:val="0"/>
      <w:marBottom w:val="0"/>
      <w:divBdr>
        <w:top w:val="none" w:sz="0" w:space="0" w:color="auto"/>
        <w:left w:val="none" w:sz="0" w:space="0" w:color="auto"/>
        <w:bottom w:val="none" w:sz="0" w:space="0" w:color="auto"/>
        <w:right w:val="none" w:sz="0" w:space="0" w:color="auto"/>
      </w:divBdr>
    </w:div>
    <w:div w:id="623580184">
      <w:bodyDiv w:val="1"/>
      <w:marLeft w:val="0"/>
      <w:marRight w:val="0"/>
      <w:marTop w:val="0"/>
      <w:marBottom w:val="0"/>
      <w:divBdr>
        <w:top w:val="none" w:sz="0" w:space="0" w:color="auto"/>
        <w:left w:val="none" w:sz="0" w:space="0" w:color="auto"/>
        <w:bottom w:val="none" w:sz="0" w:space="0" w:color="auto"/>
        <w:right w:val="none" w:sz="0" w:space="0" w:color="auto"/>
      </w:divBdr>
    </w:div>
    <w:div w:id="698511622">
      <w:bodyDiv w:val="1"/>
      <w:marLeft w:val="0"/>
      <w:marRight w:val="0"/>
      <w:marTop w:val="0"/>
      <w:marBottom w:val="0"/>
      <w:divBdr>
        <w:top w:val="none" w:sz="0" w:space="0" w:color="auto"/>
        <w:left w:val="none" w:sz="0" w:space="0" w:color="auto"/>
        <w:bottom w:val="none" w:sz="0" w:space="0" w:color="auto"/>
        <w:right w:val="none" w:sz="0" w:space="0" w:color="auto"/>
      </w:divBdr>
    </w:div>
    <w:div w:id="781337715">
      <w:bodyDiv w:val="1"/>
      <w:marLeft w:val="0"/>
      <w:marRight w:val="0"/>
      <w:marTop w:val="0"/>
      <w:marBottom w:val="0"/>
      <w:divBdr>
        <w:top w:val="none" w:sz="0" w:space="0" w:color="auto"/>
        <w:left w:val="none" w:sz="0" w:space="0" w:color="auto"/>
        <w:bottom w:val="none" w:sz="0" w:space="0" w:color="auto"/>
        <w:right w:val="none" w:sz="0" w:space="0" w:color="auto"/>
      </w:divBdr>
    </w:div>
    <w:div w:id="1054356444">
      <w:bodyDiv w:val="1"/>
      <w:marLeft w:val="0"/>
      <w:marRight w:val="0"/>
      <w:marTop w:val="0"/>
      <w:marBottom w:val="0"/>
      <w:divBdr>
        <w:top w:val="none" w:sz="0" w:space="0" w:color="auto"/>
        <w:left w:val="none" w:sz="0" w:space="0" w:color="auto"/>
        <w:bottom w:val="none" w:sz="0" w:space="0" w:color="auto"/>
        <w:right w:val="none" w:sz="0" w:space="0" w:color="auto"/>
      </w:divBdr>
    </w:div>
    <w:div w:id="1309213776">
      <w:bodyDiv w:val="1"/>
      <w:marLeft w:val="0"/>
      <w:marRight w:val="0"/>
      <w:marTop w:val="0"/>
      <w:marBottom w:val="0"/>
      <w:divBdr>
        <w:top w:val="none" w:sz="0" w:space="0" w:color="auto"/>
        <w:left w:val="none" w:sz="0" w:space="0" w:color="auto"/>
        <w:bottom w:val="none" w:sz="0" w:space="0" w:color="auto"/>
        <w:right w:val="none" w:sz="0" w:space="0" w:color="auto"/>
      </w:divBdr>
    </w:div>
    <w:div w:id="1785340552">
      <w:bodyDiv w:val="1"/>
      <w:marLeft w:val="0"/>
      <w:marRight w:val="0"/>
      <w:marTop w:val="0"/>
      <w:marBottom w:val="0"/>
      <w:divBdr>
        <w:top w:val="none" w:sz="0" w:space="0" w:color="auto"/>
        <w:left w:val="none" w:sz="0" w:space="0" w:color="auto"/>
        <w:bottom w:val="none" w:sz="0" w:space="0" w:color="auto"/>
        <w:right w:val="none" w:sz="0" w:space="0" w:color="auto"/>
      </w:divBdr>
    </w:div>
    <w:div w:id="1829444951">
      <w:bodyDiv w:val="1"/>
      <w:marLeft w:val="0"/>
      <w:marRight w:val="0"/>
      <w:marTop w:val="0"/>
      <w:marBottom w:val="0"/>
      <w:divBdr>
        <w:top w:val="none" w:sz="0" w:space="0" w:color="auto"/>
        <w:left w:val="none" w:sz="0" w:space="0" w:color="auto"/>
        <w:bottom w:val="none" w:sz="0" w:space="0" w:color="auto"/>
        <w:right w:val="none" w:sz="0" w:space="0" w:color="auto"/>
      </w:divBdr>
    </w:div>
    <w:div w:id="192977585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s://www.ncbi.nlm.nih.gov/pubmed/?term=Malik%20AS%5BAuthor%5D&amp;cauthor=true&amp;cauthor_uid=28883804" TargetMode="External"/><Relationship Id="rId20" Type="http://schemas.openxmlformats.org/officeDocument/2006/relationships/hyperlink" Target="https://www.ncbi.nlm.nih.gov/pubmed/?term=Parra%20LC%5BAuthor%5D&amp;cauthor=true&amp;cauthor_uid=27844062" TargetMode="External"/><Relationship Id="rId21" Type="http://schemas.openxmlformats.org/officeDocument/2006/relationships/hyperlink" Target="https://www.ncbi.nlm.nih.gov/pmc/articles/PMC5103161/" TargetMode="External"/><Relationship Id="rId22" Type="http://schemas.openxmlformats.org/officeDocument/2006/relationships/hyperlink" Target="https://vtshome.org/research/" TargetMode="Externa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hyperlink" Target="https://www.ncbi.nlm.nih.gov/pmc/articles/PMC5573739/" TargetMode="External"/><Relationship Id="rId11" Type="http://schemas.openxmlformats.org/officeDocument/2006/relationships/hyperlink" Target="https://www.ncbi.nlm.nih.gov/pubmed/?term=Dunsmoor%20JE%5BAuthor%5D&amp;cauthor=true&amp;cauthor_uid=25607357" TargetMode="External"/><Relationship Id="rId12" Type="http://schemas.openxmlformats.org/officeDocument/2006/relationships/hyperlink" Target="https://www.ncbi.nlm.nih.gov/pubmed/?term=Murty%20VP%5BAuthor%5D&amp;cauthor=true&amp;cauthor_uid=25607357" TargetMode="External"/><Relationship Id="rId13" Type="http://schemas.openxmlformats.org/officeDocument/2006/relationships/hyperlink" Target="https://www.ncbi.nlm.nih.gov/pubmed/?term=Davachi%20L%5BAuthor%5D&amp;cauthor=true&amp;cauthor_uid=25607357" TargetMode="External"/><Relationship Id="rId14" Type="http://schemas.openxmlformats.org/officeDocument/2006/relationships/hyperlink" Target="https://www.ncbi.nlm.nih.gov/pubmed/?term=Phelps%20EA%5BAuthor%5D&amp;cauthor=true&amp;cauthor_uid=25607357" TargetMode="External"/><Relationship Id="rId15" Type="http://schemas.openxmlformats.org/officeDocument/2006/relationships/hyperlink" Target="https://www.ncbi.nlm.nih.gov/pubmed/25607357?dopt=Abstract&amp;holding=npg" TargetMode="External"/><Relationship Id="rId16" Type="http://schemas.openxmlformats.org/officeDocument/2006/relationships/hyperlink" Target="https://www.ncbi.nlm.nih.gov/pubmed/?term=Roediger%20HL%5BAuthor%5D&amp;cauthor=true&amp;cauthor_uid=24319091" TargetMode="External"/><Relationship Id="rId17" Type="http://schemas.openxmlformats.org/officeDocument/2006/relationships/hyperlink" Target="https://www.ncbi.nlm.nih.gov/pubmed/?term=McDermott%20KB%5BAuthor%5D&amp;cauthor=true&amp;cauthor_uid=24319091" TargetMode="External"/><Relationship Id="rId18" Type="http://schemas.openxmlformats.org/officeDocument/2006/relationships/hyperlink" Target="https://www.ncbi.nlm.nih.gov/pmc/articles/PMC3876270/" TargetMode="External"/><Relationship Id="rId19" Type="http://schemas.openxmlformats.org/officeDocument/2006/relationships/hyperlink" Target="https://www.ncbi.nlm.nih.gov/pubmed/?term=Cohen%20SS%5BAuthor%5D&amp;cauthor=true&amp;cauthor_uid=27844062"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hyperlink" Target="https://www.ncbi.nlm.nih.gov/pubmed/?term=Tyng%20CM%5BAuthor%5D&amp;cauthor=true&amp;cauthor_uid=28883804" TargetMode="External"/><Relationship Id="rId7" Type="http://schemas.openxmlformats.org/officeDocument/2006/relationships/hyperlink" Target="https://www.ncbi.nlm.nih.gov/pubmed/?term=Amin%20HU%5BAuthor%5D&amp;cauthor=true&amp;cauthor_uid=28883804" TargetMode="External"/><Relationship Id="rId8" Type="http://schemas.openxmlformats.org/officeDocument/2006/relationships/hyperlink" Target="https://www.ncbi.nlm.nih.gov/pubmed/?term=Saad%20MN%5BAuthor%5D&amp;cauthor=true&amp;cauthor_uid=2888380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285</TotalTime>
  <Pages>3</Pages>
  <Words>882</Words>
  <Characters>5034</Characters>
  <Application>Microsoft Macintosh Word</Application>
  <DocSecurity>0</DocSecurity>
  <Lines>41</Lines>
  <Paragraphs>11</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The Influences of Emotion on Learning and Memory</vt:lpstr>
      <vt:lpstr>Emotional learning selectively and retroactively strengthens memories for relate</vt:lpstr>
      <vt:lpstr>Two types of event memory</vt:lpstr>
      <vt:lpstr>Memorable Audiovisual Narratives Synchronize Sensory and Supramodal Neural Respo</vt:lpstr>
    </vt:vector>
  </TitlesOfParts>
  <LinksUpToDate>false</LinksUpToDate>
  <CharactersWithSpaces>5905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2018-06-21T19:41:00Z</cp:lastPrinted>
  <dcterms:created xsi:type="dcterms:W3CDTF">2018-06-20T20:30:00Z</dcterms:created>
  <dcterms:modified xsi:type="dcterms:W3CDTF">2018-06-24T19:10:00Z</dcterms:modified>
</cp:coreProperties>
</file>